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Exchange Act of 1934</w:t>
      </w:r>
    </w:p>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rPr>
        <w:t>July 23, 2026</w:t>
      </w:r>
    </w:p>
    <w:p>
      <w:pPr>
        <w:pStyle w:val="TextBody"/>
        <w:bidi w:val="0"/>
        <w:spacing w:lineRule="auto" w:line="288" w:before="2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QUANTUM-SI INCORPORATED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before="0" w:after="0"/>
        <w:jc w:val="center"/>
        <w:rPr/>
      </w:pPr>
      <w:r>
        <w:rPr/>
      </w:r>
    </w:p>
    <w:tbl>
      <w:tblPr>
        <w:tblW w:w="8863"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001-39486</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85-1388175</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1"/>
        <w:gridCol w:w="1056"/>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29 Business Park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Branford,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06405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(866) 688-7374</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N/A</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307" w:type="dxa"/>
        <w:jc w:val="left"/>
        <w:tblInd w:w="0" w:type="dxa"/>
        <w:tblLayout w:type="fixed"/>
        <w:tblCellMar>
          <w:top w:w="28" w:type="dxa"/>
          <w:left w:w="28" w:type="dxa"/>
          <w:bottom w:w="28" w:type="dxa"/>
          <w:right w:w="28" w:type="dxa"/>
        </w:tblCellMar>
      </w:tblPr>
      <w:tblGrid>
        <w:gridCol w:w="1550"/>
        <w:gridCol w:w="1362"/>
        <w:gridCol w:w="1378"/>
        <w:gridCol w:w="109"/>
        <w:gridCol w:w="109"/>
        <w:gridCol w:w="109"/>
        <w:gridCol w:w="564"/>
        <w:gridCol w:w="564"/>
        <w:gridCol w:w="566"/>
        <w:gridCol w:w="109"/>
        <w:gridCol w:w="109"/>
        <w:gridCol w:w="109"/>
        <w:gridCol w:w="780"/>
        <w:gridCol w:w="780"/>
        <w:gridCol w:w="1109"/>
      </w:tblGrid>
      <w:tr>
        <w:trPr/>
        <w:tc>
          <w:tcPr>
            <w:tcW w:w="1550"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which registered</w:t>
            </w:r>
          </w:p>
        </w:tc>
      </w:tr>
      <w:tr>
        <w:trPr/>
        <w:tc>
          <w:tcPr>
            <w:tcW w:w="42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QSI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2026, Quantum-Si Incorporated (the “Company”) received written notice (the “Notice”) from the Listing Qualifications Department (the “Staff”) of The Nasdaq Stock Market LLC (“Nasdaq”) notifying the Company that, because the closing bid price for the Company’s Class A common stock, par value $0.0001 per share (the “Common Stock”), has fallen below $1.00 per share for 30 consecutive business days, the Company no longer meets the minimum bid price requirement for continued inclusion on The Nasdaq Global Market pursuant to Nasdaq Listing Rule 5450(a)(1) (the “Bid Price Requirement”). This Notice has no immediate effect on the listing or trading of the Company’s Common Stock, which continues to trade on The Nasdaq Global Market under the symbol “QSI”. The Notice also does not affect the ongoing business operations of the Company or its reporting requirements with the Securities and Exchange Commission.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Nasdaq Listing Rule 5810(c)(3)(A) (the “Compliance Period Rule”), the Company has been provided an initial period of 180 calendar days, or until January 19, 2027, (the “Compliance Date”) to regain compliance with the Bid Price Requirement. To regain compliance, the closing bid price of the Company’s Common Stock must be at least $1.00 per share for a minimum of 10 consecutive business days as required under the Compliance Period Rule (unless the Staff exercises its discretion to extend this ten-day period pursuant to Nasdaq Listing Rule 5810(c)(3)(H)).</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 the Bid Price Requirement by the Compliance Date, the Company may be eligible for an additional 180 calendar day compliance period. To qualify, the Company would need to transfer the listing of its Common Stock to The Nasdaq Capital Market and meet the continued listing requirement for the market value of publicly held shares and all other initial listing standards, with the exception of the Bid Price Requirement. To effect such a transfer, the Company would also need to pay an application fee to Nasdaq and would need to provide written notice to the Staff of the Company’s intention to cure the deficiency during the additional compliance period by effecting a reverse stock split if necessary.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If the Staff concludes that the Company will not be able to cure the deficiency, or if the Company does not regain compliance with the Bid Price Requirement within such additional 180 calendar day compliance period, the Staff will provide written notification to the Company that the Company’s Common Stock will be subject to delisting. At that time, the Company may appeal the Staff’s delisting determination to a Nasdaq Hearings Panel (the “Panel”). However, there can be no assurance that, if the Company receives a delisting notice and appeals the delisting determination by the Staff to the Panel, such appeal would be successful.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will consider all available options to regain compliance with the Bid Price Requirement. However, there can be no assurance that the Company will be able to regain compliance with the Bid Price Requirement or that the Staff will grant the Company a further extension of time to regain compliance,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0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128" w:type="dxa"/>
        <w:jc w:val="left"/>
        <w:tblInd w:w="0" w:type="dxa"/>
        <w:tblLayout w:type="fixed"/>
        <w:tblCellMar>
          <w:top w:w="28" w:type="dxa"/>
          <w:left w:w="28" w:type="dxa"/>
          <w:bottom w:w="28" w:type="dxa"/>
          <w:right w:w="28" w:type="dxa"/>
        </w:tblCellMar>
      </w:tblPr>
      <w:tblGrid>
        <w:gridCol w:w="618"/>
        <w:gridCol w:w="544"/>
        <w:gridCol w:w="547"/>
        <w:gridCol w:w="470"/>
        <w:gridCol w:w="470"/>
        <w:gridCol w:w="470"/>
        <w:gridCol w:w="588"/>
        <w:gridCol w:w="588"/>
        <w:gridCol w:w="83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QUANTUM-SI INCORPORATED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Jeffry Keyes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Jeffry Keyes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892</Words>
  <Characters>4779</Characters>
  <CharactersWithSpaces>5620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