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0001505034</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Quantum-Si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001-39486</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w w:val="96"/>
              </w:rPr>
              <w:t>29 BUSINESS PARK DRIVE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80"/>
              <w:spacing w:after="0" w:line="243" w:lineRule="exact"/>
              <w:rPr>
                <w:sz w:val="20"/>
                <w:szCs w:val="20"/>
                <w:color w:val="auto"/>
              </w:rPr>
            </w:pPr>
            <w:r>
              <w:rPr>
                <w:rFonts w:ascii="Times New Roman" w:cs="Times New Roman" w:eastAsia="Times New Roman" w:hAnsi="Times New Roman"/>
                <w:sz w:val="22"/>
                <w:szCs w:val="22"/>
                <w:color w:val="auto"/>
              </w:rPr>
              <w:t>BRANFORD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20" w:type="dxa"/>
            <w:vAlign w:val="bottom"/>
          </w:tcPr>
          <w:p>
            <w:pPr>
              <w:spacing w:after="0"/>
              <w:rPr>
                <w:sz w:val="13"/>
                <w:szCs w:val="13"/>
                <w:color w:val="auto"/>
              </w:rPr>
            </w:pPr>
          </w:p>
        </w:tc>
        <w:tc>
          <w:tcPr>
            <w:tcW w:w="36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color w:val="auto"/>
              </w:rPr>
              <w:t>CONNECTICUT</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20" w:type="dxa"/>
            <w:vAlign w:val="bottom"/>
          </w:tcPr>
          <w:p>
            <w:pPr>
              <w:spacing w:after="0"/>
              <w:rPr>
                <w:sz w:val="7"/>
                <w:szCs w:val="7"/>
                <w:color w:val="auto"/>
              </w:rPr>
            </w:pPr>
          </w:p>
        </w:tc>
        <w:tc>
          <w:tcPr>
            <w:tcW w:w="3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06405</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(203) 458-7100</w:t>
            </w:r>
          </w:p>
        </w:tc>
        <w:tc>
          <w:tcPr>
            <w:tcW w:w="0" w:type="dxa"/>
            <w:vAlign w:val="bottom"/>
          </w:tcPr>
          <w:p>
            <w:pPr>
              <w:spacing w:after="0"/>
              <w:rPr>
                <w:sz w:val="1"/>
                <w:szCs w:val="1"/>
                <w:color w:val="auto"/>
              </w:rPr>
            </w:pP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Hawkins Jeffrey Alan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6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22621</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20996.81</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197822663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06/22/2026   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0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08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80" w:type="dxa"/>
            <w:vAlign w:val="bottom"/>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0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60" w:type="dxa"/>
            <w:vAlign w:val="bottom"/>
          </w:tcPr>
          <w:p>
            <w:pPr>
              <w:spacing w:after="0"/>
              <w:rPr>
                <w:sz w:val="23"/>
                <w:szCs w:val="23"/>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Quantum-Si</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8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06/20/2026</w:t>
            </w:r>
          </w:p>
        </w:tc>
        <w:tc>
          <w:tcPr>
            <w:tcW w:w="158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w w:val="98"/>
              </w:rPr>
              <w:t>59609</w:t>
            </w:r>
          </w:p>
        </w:tc>
        <w:tc>
          <w:tcPr>
            <w:tcW w:w="2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06/20/2026 compensation for</w:t>
            </w:r>
          </w:p>
        </w:tc>
        <w:tc>
          <w:tcPr>
            <w:tcW w:w="0" w:type="dxa"/>
            <w:vAlign w:val="bottom"/>
          </w:tcPr>
          <w:p>
            <w:pPr>
              <w:spacing w:after="0"/>
              <w:rPr>
                <w:sz w:val="1"/>
                <w:szCs w:val="1"/>
                <w:color w:val="auto"/>
              </w:rPr>
            </w:pPr>
          </w:p>
        </w:tc>
      </w:tr>
      <w:tr>
        <w:trPr>
          <w:trHeight w:val="216"/>
        </w:trPr>
        <w:tc>
          <w:tcPr>
            <w:tcW w:w="14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Common Stock</w:t>
            </w:r>
          </w:p>
        </w:tc>
        <w:tc>
          <w:tcPr>
            <w:tcW w:w="1060" w:type="dxa"/>
            <w:vAlign w:val="bottom"/>
            <w:vMerge w:val="continue"/>
          </w:tcPr>
          <w:p>
            <w:pPr>
              <w:spacing w:after="0"/>
              <w:rPr>
                <w:sz w:val="18"/>
                <w:szCs w:val="18"/>
                <w:color w:val="auto"/>
              </w:rPr>
            </w:pPr>
          </w:p>
        </w:tc>
        <w:tc>
          <w:tcPr>
            <w:tcW w:w="15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Unit Vesting</w:t>
            </w:r>
          </w:p>
        </w:tc>
        <w:tc>
          <w:tcPr>
            <w:tcW w:w="1540" w:type="dxa"/>
            <w:vAlign w:val="bottom"/>
          </w:tcPr>
          <w:p>
            <w:pPr>
              <w:ind w:left="140"/>
              <w:spacing w:after="0" w:line="217" w:lineRule="exact"/>
              <w:rPr>
                <w:sz w:val="20"/>
                <w:szCs w:val="20"/>
                <w:color w:val="auto"/>
              </w:rPr>
            </w:pPr>
            <w:r>
              <w:rPr>
                <w:rFonts w:ascii="Times New Roman" w:cs="Times New Roman" w:eastAsia="Times New Roman" w:hAnsi="Times New Roman"/>
                <w:sz w:val="22"/>
                <w:szCs w:val="22"/>
                <w:color w:val="auto"/>
              </w:rPr>
              <w:t>Incorporated</w:t>
            </w: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26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services rendered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0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6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00" w:type="dxa"/>
            <w:vAlign w:val="bottom"/>
            <w:vMerge w:val="continue"/>
          </w:tcPr>
          <w:p>
            <w:pPr>
              <w:spacing w:after="0"/>
              <w:rPr>
                <w:sz w:val="10"/>
                <w:szCs w:val="10"/>
                <w:color w:val="auto"/>
              </w:rPr>
            </w:pPr>
          </w:p>
        </w:tc>
        <w:tc>
          <w:tcPr>
            <w:tcW w:w="346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40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00" w:type="dxa"/>
            <w:vAlign w:val="bottom"/>
          </w:tcPr>
          <w:p>
            <w:pPr>
              <w:spacing w:after="0"/>
              <w:rPr>
                <w:sz w:val="20"/>
                <w:szCs w:val="20"/>
                <w:color w:val="auto"/>
              </w:rPr>
            </w:pPr>
            <w:r>
              <w:rPr>
                <w:rFonts w:ascii="Times New Roman" w:cs="Times New Roman" w:eastAsia="Times New Roman" w:hAnsi="Times New Roman"/>
                <w:sz w:val="22"/>
                <w:szCs w:val="22"/>
                <w:color w:val="auto"/>
              </w:rPr>
              <w:t>Jeffrey Hawkins c/o Morgan Stanley</w:t>
            </w:r>
          </w:p>
        </w:tc>
        <w:tc>
          <w:tcPr>
            <w:tcW w:w="3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Smith Barney LLC</w:t>
            </w:r>
          </w:p>
        </w:tc>
        <w:tc>
          <w:tcPr>
            <w:tcW w:w="34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34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04/20/2026 167424</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167507.71</w:t>
            </w:r>
          </w:p>
        </w:tc>
        <w:tc>
          <w:tcPr>
            <w:tcW w:w="0" w:type="dxa"/>
            <w:vAlign w:val="bottom"/>
          </w:tcPr>
          <w:p>
            <w:pPr>
              <w:spacing w:after="0"/>
              <w:rPr>
                <w:sz w:val="1"/>
                <w:szCs w:val="1"/>
                <w:color w:val="auto"/>
              </w:rPr>
            </w:pPr>
          </w:p>
        </w:tc>
      </w:tr>
      <w:tr>
        <w:trPr>
          <w:trHeight w:val="243"/>
        </w:trPr>
        <w:tc>
          <w:tcPr>
            <w:tcW w:w="3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34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40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10004</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360"/>
        <w:spacing w:after="0" w:line="244" w:lineRule="auto"/>
        <w:rPr>
          <w:sz w:val="20"/>
          <w:szCs w:val="20"/>
          <w:color w:val="auto"/>
        </w:rPr>
      </w:pPr>
      <w:r>
        <w:rPr>
          <w:rFonts w:ascii="Times New Roman" w:cs="Times New Roman" w:eastAsia="Times New Roman" w:hAnsi="Times New Roman"/>
          <w:sz w:val="22"/>
          <w:szCs w:val="22"/>
          <w:color w:val="auto"/>
        </w:rPr>
        <w:t>Shares sold to cover tax withholding obligations in connection with the vesting of restricted stock units. The sale is mandated by the Issuers election to require the satisfaction of tax withholding obligations through a sell to cover transaction and does not represent a discretionary trade by the reporting person.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06/24/2026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Christian LaPointe, Ph.D.,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2026-06-24T19:02:07Z</dcterms:created>
  <dcterms:modified xsi:type="dcterms:W3CDTF">2026-06-24T19:02:07Z</dcterms:modified>
</cp:coreProperties>
</file>